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AE" w:rsidRDefault="00FC1071">
      <w:pPr>
        <w:spacing w:line="259" w:lineRule="auto"/>
        <w:ind w:left="139" w:firstLine="0"/>
        <w:jc w:val="center"/>
      </w:pPr>
      <w:r>
        <w:rPr>
          <w:b/>
          <w:sz w:val="28"/>
        </w:rPr>
        <w:t xml:space="preserve">Zmluva o poskytovaní poradenských a konzultačných služieb </w:t>
      </w:r>
    </w:p>
    <w:p w:rsidR="00A403AE" w:rsidRDefault="00FC1071">
      <w:pPr>
        <w:spacing w:after="380"/>
        <w:ind w:left="526" w:firstLine="0"/>
      </w:pPr>
      <w:r>
        <w:t xml:space="preserve">uzatvorená v zmysle § 269 ods. 2.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Z.č</w:t>
      </w:r>
      <w:proofErr w:type="spellEnd"/>
      <w:r>
        <w:t xml:space="preserve">. 513/1991 </w:t>
      </w:r>
      <w:proofErr w:type="spellStart"/>
      <w:r>
        <w:t>Z.z</w:t>
      </w:r>
      <w:proofErr w:type="spellEnd"/>
      <w:r>
        <w:t xml:space="preserve">. Obchodný zákonník v aktuálnom znení </w:t>
      </w:r>
    </w:p>
    <w:p w:rsidR="00A403AE" w:rsidRDefault="00FC1071">
      <w:pPr>
        <w:pStyle w:val="Nadpis1"/>
        <w:spacing w:after="82"/>
        <w:ind w:left="1275" w:right="428" w:hanging="708"/>
      </w:pPr>
      <w:r>
        <w:t xml:space="preserve">Zmluvné strany </w:t>
      </w:r>
    </w:p>
    <w:p w:rsidR="00A403AE" w:rsidRDefault="00FC1071">
      <w:pPr>
        <w:tabs>
          <w:tab w:val="center" w:pos="2865"/>
        </w:tabs>
        <w:spacing w:after="2" w:line="256" w:lineRule="auto"/>
        <w:ind w:left="-15" w:firstLine="0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Objednávateľ </w:t>
      </w:r>
      <w:r>
        <w:rPr>
          <w:b/>
        </w:rPr>
        <w:tab/>
        <w:t xml:space="preserve">Obec Šterusy </w:t>
      </w:r>
    </w:p>
    <w:p w:rsidR="00A403AE" w:rsidRDefault="00FC1071">
      <w:pPr>
        <w:tabs>
          <w:tab w:val="center" w:pos="749"/>
          <w:tab w:val="center" w:pos="1558"/>
          <w:tab w:val="center" w:pos="3492"/>
        </w:tabs>
        <w:spacing w:after="10"/>
        <w:ind w:left="0" w:firstLine="0"/>
        <w:jc w:val="left"/>
      </w:pPr>
      <w:r>
        <w:tab/>
      </w:r>
      <w:r>
        <w:t xml:space="preserve">Sídlo:  </w:t>
      </w:r>
      <w:r>
        <w:tab/>
        <w:t xml:space="preserve"> </w:t>
      </w:r>
      <w:r>
        <w:tab/>
        <w:t xml:space="preserve">Šterusy 117, 922 03 Vrbové </w:t>
      </w:r>
    </w:p>
    <w:p w:rsidR="00A403AE" w:rsidRDefault="00FC1071">
      <w:pPr>
        <w:tabs>
          <w:tab w:val="center" w:pos="691"/>
          <w:tab w:val="center" w:pos="1558"/>
          <w:tab w:val="center" w:pos="2713"/>
        </w:tabs>
        <w:spacing w:after="10"/>
        <w:ind w:left="0" w:firstLine="0"/>
        <w:jc w:val="left"/>
      </w:pPr>
      <w:r>
        <w:tab/>
      </w:r>
      <w:r>
        <w:t xml:space="preserve">IČO: </w:t>
      </w:r>
      <w:r>
        <w:tab/>
        <w:t xml:space="preserve"> </w:t>
      </w:r>
      <w:r>
        <w:tab/>
      </w:r>
      <w:r>
        <w:t xml:space="preserve">00800163 </w:t>
      </w:r>
    </w:p>
    <w:p w:rsidR="00A403AE" w:rsidRDefault="00FC1071">
      <w:pPr>
        <w:tabs>
          <w:tab w:val="center" w:pos="684"/>
          <w:tab w:val="center" w:pos="1558"/>
          <w:tab w:val="center" w:pos="2824"/>
        </w:tabs>
        <w:spacing w:after="10"/>
        <w:ind w:left="0" w:firstLine="0"/>
        <w:jc w:val="left"/>
      </w:pPr>
      <w:r>
        <w:tab/>
      </w:r>
      <w:r>
        <w:t xml:space="preserve">DIČ: </w:t>
      </w:r>
      <w:r>
        <w:tab/>
        <w:t xml:space="preserve"> </w:t>
      </w:r>
      <w:r>
        <w:tab/>
        <w:t xml:space="preserve">2020538091 </w:t>
      </w:r>
    </w:p>
    <w:p w:rsidR="00A403AE" w:rsidRDefault="00FC1071">
      <w:pPr>
        <w:tabs>
          <w:tab w:val="center" w:pos="809"/>
          <w:tab w:val="center" w:pos="1558"/>
          <w:tab w:val="center" w:pos="3172"/>
        </w:tabs>
        <w:spacing w:after="0" w:line="259" w:lineRule="auto"/>
        <w:ind w:left="0" w:firstLine="0"/>
        <w:jc w:val="left"/>
      </w:pPr>
      <w:r>
        <w:tab/>
      </w:r>
      <w:r>
        <w:t xml:space="preserve">e-mail: </w:t>
      </w:r>
      <w:r>
        <w:tab/>
        <w:t xml:space="preserve"> </w:t>
      </w:r>
      <w:r>
        <w:tab/>
      </w:r>
      <w:r>
        <w:rPr>
          <w:color w:val="0000FF"/>
          <w:u w:val="single" w:color="0000FF"/>
        </w:rPr>
        <w:t>starosta@sterusy.sk</w:t>
      </w:r>
      <w:r>
        <w:t xml:space="preserve">  </w:t>
      </w:r>
    </w:p>
    <w:p w:rsidR="00A403AE" w:rsidRDefault="00FC1071">
      <w:pPr>
        <w:spacing w:after="10"/>
        <w:ind w:left="500" w:firstLine="0"/>
      </w:pPr>
      <w:r>
        <w:t xml:space="preserve">Bankové spojenie: Všeobecná úverová banka, </w:t>
      </w:r>
      <w:proofErr w:type="spellStart"/>
      <w:r>
        <w:t>a.s</w:t>
      </w:r>
      <w:proofErr w:type="spellEnd"/>
      <w:r>
        <w:t xml:space="preserve">. </w:t>
      </w:r>
    </w:p>
    <w:p w:rsidR="00A403AE" w:rsidRDefault="00FC1071">
      <w:pPr>
        <w:tabs>
          <w:tab w:val="center" w:pos="964"/>
          <w:tab w:val="center" w:pos="2978"/>
        </w:tabs>
        <w:spacing w:after="10"/>
        <w:ind w:left="0" w:firstLine="0"/>
        <w:jc w:val="left"/>
      </w:pPr>
      <w:r>
        <w:tab/>
      </w:r>
      <w:r>
        <w:t xml:space="preserve">Číslo účtu:   </w:t>
      </w:r>
      <w:r>
        <w:tab/>
        <w:t xml:space="preserve">30027212/0200 </w:t>
      </w:r>
    </w:p>
    <w:p w:rsidR="00A403AE" w:rsidRDefault="00FC1071">
      <w:pPr>
        <w:tabs>
          <w:tab w:val="center" w:pos="751"/>
          <w:tab w:val="center" w:pos="1558"/>
          <w:tab w:val="center" w:pos="3725"/>
        </w:tabs>
        <w:spacing w:after="10"/>
        <w:ind w:left="0" w:firstLine="0"/>
        <w:jc w:val="left"/>
      </w:pPr>
      <w:r>
        <w:tab/>
      </w:r>
      <w:r>
        <w:t xml:space="preserve">IBAN: </w:t>
      </w:r>
      <w:r>
        <w:tab/>
        <w:t xml:space="preserve"> </w:t>
      </w:r>
      <w:r>
        <w:tab/>
        <w:t xml:space="preserve">SK30 0200 0000 0000 3002 7212 </w:t>
      </w:r>
    </w:p>
    <w:p w:rsidR="00A403AE" w:rsidRDefault="00FC1071">
      <w:pPr>
        <w:tabs>
          <w:tab w:val="center" w:pos="992"/>
          <w:tab w:val="center" w:pos="3717"/>
        </w:tabs>
        <w:spacing w:after="10"/>
        <w:ind w:left="0" w:firstLine="0"/>
        <w:jc w:val="left"/>
      </w:pPr>
      <w:r>
        <w:tab/>
      </w:r>
      <w:r>
        <w:t xml:space="preserve">Zastúpený:   </w:t>
      </w:r>
      <w:r>
        <w:tab/>
        <w:t xml:space="preserve">Bc. Zdenka </w:t>
      </w:r>
      <w:proofErr w:type="spellStart"/>
      <w:r>
        <w:t>Vlkovičová</w:t>
      </w:r>
      <w:proofErr w:type="spellEnd"/>
      <w:r>
        <w:t xml:space="preserve">, starostka </w:t>
      </w:r>
    </w:p>
    <w:p w:rsidR="00A403AE" w:rsidRDefault="00FC1071">
      <w:pPr>
        <w:pStyle w:val="Nadpis1"/>
        <w:numPr>
          <w:ilvl w:val="0"/>
          <w:numId w:val="0"/>
        </w:numPr>
        <w:spacing w:after="112"/>
        <w:ind w:left="577"/>
      </w:pPr>
      <w:r>
        <w:t xml:space="preserve">(ďalej len „objednávateľ“) </w:t>
      </w:r>
    </w:p>
    <w:p w:rsidR="00A403AE" w:rsidRDefault="00FC1071">
      <w:pPr>
        <w:spacing w:after="145" w:line="259" w:lineRule="auto"/>
        <w:ind w:left="577" w:hanging="10"/>
        <w:jc w:val="center"/>
      </w:pPr>
      <w:r>
        <w:rPr>
          <w:b/>
        </w:rPr>
        <w:t xml:space="preserve">a </w:t>
      </w:r>
    </w:p>
    <w:p w:rsidR="00A403AE" w:rsidRDefault="00FC1071">
      <w:pPr>
        <w:spacing w:after="4"/>
        <w:ind w:left="495" w:right="5083"/>
      </w:pPr>
      <w:r>
        <w:t>1.2.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Poradca </w:t>
      </w:r>
      <w:r>
        <w:rPr>
          <w:b/>
        </w:rPr>
        <w:tab/>
        <w:t xml:space="preserve"> </w:t>
      </w:r>
      <w:r>
        <w:rPr>
          <w:b/>
        </w:rPr>
        <w:tab/>
        <w:t xml:space="preserve">PROTEUS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 </w:t>
      </w:r>
      <w:r>
        <w:t xml:space="preserve">sídlo: </w:t>
      </w:r>
      <w:r>
        <w:tab/>
        <w:t xml:space="preserve"> </w:t>
      </w:r>
      <w:r>
        <w:tab/>
        <w:t xml:space="preserve">Pažitná 68, 917 01 Trnava </w:t>
      </w:r>
    </w:p>
    <w:p w:rsidR="00A403AE" w:rsidRDefault="00FC1071">
      <w:pPr>
        <w:tabs>
          <w:tab w:val="center" w:pos="689"/>
          <w:tab w:val="center" w:pos="1558"/>
          <w:tab w:val="center" w:pos="2713"/>
        </w:tabs>
        <w:spacing w:after="10"/>
        <w:ind w:left="0" w:firstLine="0"/>
        <w:jc w:val="left"/>
      </w:pPr>
      <w:r>
        <w:tab/>
      </w:r>
      <w:r>
        <w:t xml:space="preserve">IČO: </w:t>
      </w:r>
      <w:r>
        <w:tab/>
        <w:t xml:space="preserve"> </w:t>
      </w:r>
      <w:r>
        <w:tab/>
        <w:t xml:space="preserve">45373680 </w:t>
      </w:r>
    </w:p>
    <w:p w:rsidR="00A403AE" w:rsidRDefault="00FC1071">
      <w:pPr>
        <w:spacing w:after="0"/>
        <w:ind w:left="500" w:right="4875" w:firstLine="0"/>
      </w:pPr>
      <w:r>
        <w:t xml:space="preserve">DIČ:  2022955770 IČ DPH:  SK2022955770 e-mail:  </w:t>
      </w:r>
      <w:r>
        <w:rPr>
          <w:color w:val="0000FF"/>
          <w:u w:val="single" w:color="0000FF"/>
        </w:rPr>
        <w:t>agentura-vo@proteus-vo.sk</w:t>
      </w:r>
      <w:r>
        <w:t xml:space="preserve"> </w:t>
      </w:r>
    </w:p>
    <w:p w:rsidR="00A403AE" w:rsidRDefault="00FC1071">
      <w:pPr>
        <w:spacing w:after="10"/>
        <w:ind w:left="500" w:firstLine="0"/>
      </w:pPr>
      <w:r>
        <w:t xml:space="preserve">Bankové spojenie: Tatrabanka </w:t>
      </w:r>
      <w:proofErr w:type="spellStart"/>
      <w:r>
        <w:t>a.s</w:t>
      </w:r>
      <w:proofErr w:type="spellEnd"/>
      <w:r>
        <w:t xml:space="preserve">. </w:t>
      </w:r>
    </w:p>
    <w:p w:rsidR="00A403AE" w:rsidRDefault="00FC1071">
      <w:pPr>
        <w:tabs>
          <w:tab w:val="center" w:pos="964"/>
          <w:tab w:val="center" w:pos="3090"/>
        </w:tabs>
        <w:spacing w:after="10"/>
        <w:ind w:left="0" w:firstLine="0"/>
        <w:jc w:val="left"/>
      </w:pPr>
      <w:r>
        <w:tab/>
      </w:r>
      <w:r>
        <w:t xml:space="preserve">Číslo účtu:  </w:t>
      </w:r>
      <w:r>
        <w:tab/>
      </w:r>
      <w:r>
        <w:t xml:space="preserve">2924831188/1100 </w:t>
      </w:r>
    </w:p>
    <w:p w:rsidR="00A403AE" w:rsidRDefault="00FC1071">
      <w:pPr>
        <w:tabs>
          <w:tab w:val="center" w:pos="751"/>
          <w:tab w:val="center" w:pos="1558"/>
          <w:tab w:val="center" w:pos="3726"/>
        </w:tabs>
        <w:spacing w:after="10"/>
        <w:ind w:left="0" w:firstLine="0"/>
        <w:jc w:val="left"/>
      </w:pPr>
      <w:r>
        <w:tab/>
      </w:r>
      <w:r>
        <w:t xml:space="preserve">IBAN: </w:t>
      </w:r>
      <w:r>
        <w:tab/>
        <w:t xml:space="preserve"> </w:t>
      </w:r>
      <w:r>
        <w:tab/>
        <w:t xml:space="preserve">SK45 1100 0000 0029 2483 1188 </w:t>
      </w:r>
    </w:p>
    <w:p w:rsidR="00A403AE" w:rsidRDefault="00FC1071">
      <w:pPr>
        <w:tabs>
          <w:tab w:val="center" w:pos="992"/>
          <w:tab w:val="center" w:pos="3322"/>
        </w:tabs>
        <w:spacing w:after="10"/>
        <w:ind w:left="0" w:firstLine="0"/>
        <w:jc w:val="left"/>
      </w:pPr>
      <w:r>
        <w:tab/>
      </w:r>
      <w:r>
        <w:t xml:space="preserve">Zastúpený:   </w:t>
      </w:r>
      <w:r>
        <w:tab/>
        <w:t xml:space="preserve">Ing. Boris Princ, konateľ </w:t>
      </w:r>
    </w:p>
    <w:p w:rsidR="00A403AE" w:rsidRDefault="00FC1071">
      <w:pPr>
        <w:spacing w:after="159"/>
        <w:ind w:left="4149" w:right="606" w:hanging="3649"/>
      </w:pPr>
      <w:r>
        <w:t xml:space="preserve">Zapísaný: </w:t>
      </w:r>
      <w:r>
        <w:tab/>
        <w:t xml:space="preserve"> </w:t>
      </w:r>
      <w:r>
        <w:tab/>
        <w:t xml:space="preserve">Spoločnosť zapísaná  v OR OS Trnava, oddiel </w:t>
      </w:r>
      <w:proofErr w:type="spellStart"/>
      <w:r>
        <w:t>Sro</w:t>
      </w:r>
      <w:proofErr w:type="spellEnd"/>
      <w:r>
        <w:t xml:space="preserve">, vložka číslo 24257/T </w:t>
      </w:r>
      <w:r>
        <w:rPr>
          <w:b/>
        </w:rPr>
        <w:t xml:space="preserve">(ďalej len „poradca“) </w:t>
      </w:r>
    </w:p>
    <w:p w:rsidR="00A403AE" w:rsidRDefault="00FC1071">
      <w:pPr>
        <w:spacing w:after="48"/>
        <w:ind w:left="-15" w:firstLine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Definícia pojmov: </w:t>
      </w:r>
    </w:p>
    <w:p w:rsidR="00A403AE" w:rsidRDefault="00FC1071">
      <w:pPr>
        <w:spacing w:after="49"/>
        <w:ind w:left="500" w:firstLine="0"/>
      </w:pPr>
      <w:r>
        <w:rPr>
          <w:b/>
        </w:rPr>
        <w:t xml:space="preserve">Objednávateľ </w:t>
      </w:r>
      <w:r>
        <w:t>je osoba povi</w:t>
      </w:r>
      <w:r>
        <w:t>nná postupovať v súlade so zákonom o verejnom obstarávaní, konkrétne na základe § 6 ods. 1 písm. b), a ktorá má záujem o zabezpečenie činností vo verejnom obstarávaní prostredníctvom osoby poradcu za účelom dodržania zákonného postupu pri zadávaní zákazky.</w:t>
      </w:r>
      <w:r>
        <w:t xml:space="preserve"> </w:t>
      </w:r>
    </w:p>
    <w:p w:rsidR="00A403AE" w:rsidRDefault="00FC1071">
      <w:pPr>
        <w:spacing w:after="52"/>
        <w:ind w:left="500" w:firstLine="0"/>
      </w:pPr>
      <w:r>
        <w:rPr>
          <w:b/>
        </w:rPr>
        <w:t xml:space="preserve">Poradca </w:t>
      </w:r>
      <w:r>
        <w:t xml:space="preserve">je právnická osoba – obchodná spoločnosť zapísaná v Obchodnom registri, ktorá má oprávnenie na výkon činnosti vo verejnom obstarávaní (ďalej len „VO“). </w:t>
      </w:r>
    </w:p>
    <w:p w:rsidR="00A403AE" w:rsidRDefault="00FC1071">
      <w:pPr>
        <w:spacing w:after="71" w:line="259" w:lineRule="auto"/>
        <w:ind w:left="500" w:firstLine="0"/>
        <w:jc w:val="left"/>
      </w:pPr>
      <w:r>
        <w:rPr>
          <w:b/>
        </w:rPr>
        <w:t xml:space="preserve"> </w:t>
      </w:r>
    </w:p>
    <w:p w:rsidR="00A403AE" w:rsidRDefault="00FC1071">
      <w:pPr>
        <w:pStyle w:val="Nadpis1"/>
        <w:ind w:left="927" w:right="430" w:hanging="360"/>
      </w:pPr>
      <w:r>
        <w:t xml:space="preserve">Základné ustanovenia </w:t>
      </w:r>
    </w:p>
    <w:p w:rsidR="00A403AE" w:rsidRDefault="00FC1071">
      <w:pPr>
        <w:spacing w:after="52"/>
        <w:ind w:left="495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Zmluvné strany sa po vzájomnej dohode a v </w:t>
      </w:r>
      <w:r>
        <w:t xml:space="preserve">súlade so zákonom č. 25/2006 </w:t>
      </w:r>
      <w:proofErr w:type="spellStart"/>
      <w:r>
        <w:t>Z.z</w:t>
      </w:r>
      <w:proofErr w:type="spellEnd"/>
      <w:r>
        <w:t>. o verejnom obstarávaní a o zmene a doplnení niektorých zákonov v znení neskorších predpisov  (ďalej len „zákon o VO“) a súvisiacimi predpismi rozhodli uzatvoriť túto zmluvu o poskytovaní poradenských a konzultačných služie</w:t>
      </w:r>
      <w:r>
        <w:t xml:space="preserve">b v oblasti verejného obstarávania (ďalej len „zmluva“).  </w:t>
      </w:r>
    </w:p>
    <w:p w:rsidR="00A403AE" w:rsidRDefault="00FC1071">
      <w:pPr>
        <w:spacing w:after="143" w:line="259" w:lineRule="auto"/>
        <w:ind w:left="848" w:firstLine="0"/>
        <w:jc w:val="left"/>
      </w:pPr>
      <w:r>
        <w:rPr>
          <w:b/>
        </w:rPr>
        <w:t xml:space="preserve"> </w:t>
      </w:r>
    </w:p>
    <w:p w:rsidR="00A403AE" w:rsidRDefault="00FC1071">
      <w:pPr>
        <w:pStyle w:val="Nadpis1"/>
        <w:ind w:left="927" w:right="428" w:hanging="360"/>
      </w:pPr>
      <w:r>
        <w:t xml:space="preserve">Predmet zmluvy </w:t>
      </w:r>
    </w:p>
    <w:p w:rsidR="00A403AE" w:rsidRDefault="00FC1071">
      <w:pPr>
        <w:ind w:left="495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Predmetom tejto zmluvy je záväzok poradcu poskytnúť objednávateľovi poradenské a konzultačné služby bližšie špecifikované v bode 3.3 </w:t>
      </w:r>
      <w:r>
        <w:t xml:space="preserve">tejto zmluvy počas doby platnosti tejto zmluvy a povinnosť objednávateľa za vyššie uvedené služby za podmienok stanovených touto zmluvou riadne a včas zaplatiť dohodnutú odmenu v zmysle článku 6 tejto zmluvy.  </w:t>
      </w:r>
    </w:p>
    <w:p w:rsidR="00A403AE" w:rsidRDefault="00FC1071">
      <w:pPr>
        <w:ind w:left="495"/>
      </w:pPr>
      <w:r>
        <w:lastRenderedPageBreak/>
        <w:t>3.2.</w:t>
      </w:r>
      <w:r>
        <w:rPr>
          <w:rFonts w:ascii="Arial" w:eastAsia="Arial" w:hAnsi="Arial" w:cs="Arial"/>
        </w:rPr>
        <w:t xml:space="preserve"> </w:t>
      </w:r>
      <w:r>
        <w:t>Poradca na základe tejto zmluvy bude vyk</w:t>
      </w:r>
      <w:r>
        <w:t xml:space="preserve">onávať činnosti vo </w:t>
      </w:r>
      <w:proofErr w:type="spellStart"/>
      <w:r>
        <w:t>VO</w:t>
      </w:r>
      <w:proofErr w:type="spellEnd"/>
      <w:r>
        <w:t xml:space="preserve"> na zákazku s pracovným názvom projektu </w:t>
      </w:r>
      <w:r>
        <w:rPr>
          <w:b/>
        </w:rPr>
        <w:t>„Komunikácie a priestranstvo so zeleňou</w:t>
      </w:r>
      <w:r>
        <w:t xml:space="preserve">“, ktorá bude predmetom Žiadosti o nenávratný finančný príspevok z programu rozvoja vidieka SR 2014-2020. </w:t>
      </w:r>
    </w:p>
    <w:p w:rsidR="00A403AE" w:rsidRDefault="00FC1071">
      <w:pPr>
        <w:ind w:left="495"/>
      </w:pPr>
      <w:r>
        <w:t>3.3. Predmetom záväzku poradcu je vykonávanie čin</w:t>
      </w:r>
      <w:r>
        <w:t xml:space="preserve">ností oblasti VO pre objednávateľa a to vedenie celého procesu VO, a to najmä: </w:t>
      </w:r>
    </w:p>
    <w:p w:rsidR="00A403AE" w:rsidRDefault="00FC1071">
      <w:pPr>
        <w:ind w:left="567" w:firstLine="0"/>
      </w:pPr>
      <w:r>
        <w:t>3.3.1.</w:t>
      </w:r>
      <w:r>
        <w:rPr>
          <w:rFonts w:ascii="Arial" w:eastAsia="Arial" w:hAnsi="Arial" w:cs="Arial"/>
        </w:rPr>
        <w:t xml:space="preserve"> </w:t>
      </w:r>
      <w:r>
        <w:t xml:space="preserve">výber najvhodnejšieho postupu obstarávania; </w:t>
      </w:r>
    </w:p>
    <w:p w:rsidR="00A403AE" w:rsidRDefault="00FC1071">
      <w:pPr>
        <w:ind w:left="1136" w:hanging="569"/>
      </w:pPr>
      <w:r>
        <w:t>3.3.2.</w:t>
      </w:r>
      <w:r>
        <w:rPr>
          <w:rFonts w:ascii="Arial" w:eastAsia="Arial" w:hAnsi="Arial" w:cs="Arial"/>
        </w:rPr>
        <w:t xml:space="preserve"> </w:t>
      </w:r>
      <w:r>
        <w:t>vyšpecifikovanie podmienok pre výber dodávateľa a podmienok pre dodanie predmetu obstarávania, so zreteľom na čo najv</w:t>
      </w:r>
      <w:r>
        <w:t xml:space="preserve">äčšiu ochranu záujmov objednávateľa; </w:t>
      </w:r>
    </w:p>
    <w:p w:rsidR="00A403AE" w:rsidRDefault="00FC1071">
      <w:pPr>
        <w:ind w:left="1136" w:hanging="569"/>
      </w:pPr>
      <w:r>
        <w:t>3.3.3.</w:t>
      </w:r>
      <w:r>
        <w:rPr>
          <w:rFonts w:ascii="Arial" w:eastAsia="Arial" w:hAnsi="Arial" w:cs="Arial"/>
        </w:rPr>
        <w:t xml:space="preserve"> </w:t>
      </w:r>
      <w:r>
        <w:t xml:space="preserve">vypracovanie potrebnej dokumentácie a korešpondencie v procese VO podľa zákona o VO a v súlade s jeho ustanoveniami v požadovanom počte výtlačkov; </w:t>
      </w:r>
    </w:p>
    <w:p w:rsidR="00A403AE" w:rsidRDefault="00FC1071">
      <w:pPr>
        <w:ind w:left="1136" w:hanging="569"/>
      </w:pPr>
      <w:r>
        <w:t>3.3.4.</w:t>
      </w:r>
      <w:r>
        <w:rPr>
          <w:rFonts w:ascii="Arial" w:eastAsia="Arial" w:hAnsi="Arial" w:cs="Arial"/>
        </w:rPr>
        <w:t xml:space="preserve"> </w:t>
      </w:r>
      <w:r>
        <w:t>vypracovanie návrhov dokumentov, v ktorých sa majú preze</w:t>
      </w:r>
      <w:r>
        <w:t xml:space="preserve">ntovať požiadavky a záujmy objednávateľa (napr. súťažné podklady a iné) a zapracovanie názorov a pripomienok objednávateľa do dokumentov v záverečnej podobe; </w:t>
      </w:r>
    </w:p>
    <w:p w:rsidR="00A403AE" w:rsidRDefault="00FC1071">
      <w:pPr>
        <w:ind w:left="1136" w:hanging="569"/>
      </w:pPr>
      <w:r>
        <w:t>3.3.5.</w:t>
      </w:r>
      <w:r>
        <w:rPr>
          <w:rFonts w:ascii="Arial" w:eastAsia="Arial" w:hAnsi="Arial" w:cs="Arial"/>
        </w:rPr>
        <w:t xml:space="preserve"> </w:t>
      </w:r>
      <w:r>
        <w:t>vedenie celého procesu VO v súlade s časovým plánom až do jeho ukončenia vybraním dodávate</w:t>
      </w:r>
      <w:r>
        <w:t xml:space="preserve">ľa alebo zrušením obstarávania bez ďalšieho pokračovania (podľa rozhodnutia obstarávateľa); </w:t>
      </w:r>
    </w:p>
    <w:p w:rsidR="00A403AE" w:rsidRDefault="00FC1071">
      <w:pPr>
        <w:ind w:left="1136" w:hanging="569"/>
      </w:pPr>
      <w:r>
        <w:t>3.3.6.</w:t>
      </w:r>
      <w:r>
        <w:rPr>
          <w:rFonts w:ascii="Arial" w:eastAsia="Arial" w:hAnsi="Arial" w:cs="Arial"/>
        </w:rPr>
        <w:t xml:space="preserve"> </w:t>
      </w:r>
      <w:r>
        <w:t>dohľad nad dodržaním základných princípov v procese VO, ako sú hospodárnosť, transparentnosť, nediskriminácia, efektívnosť, zodpovednosť, konkurencia a súťa</w:t>
      </w:r>
      <w:r>
        <w:t xml:space="preserve">ž, rovnaké zaobchádzanie s uchádzačmi a aby bol dosiahnutý cieľ VO, ktorým je získať predmet obstarávania za najvýhodnejších podmienok; </w:t>
      </w:r>
    </w:p>
    <w:p w:rsidR="00A403AE" w:rsidRDefault="00FC1071">
      <w:pPr>
        <w:ind w:left="1136" w:hanging="569"/>
      </w:pPr>
      <w:r>
        <w:t>3.3.7.</w:t>
      </w:r>
      <w:r>
        <w:rPr>
          <w:rFonts w:ascii="Arial" w:eastAsia="Arial" w:hAnsi="Arial" w:cs="Arial"/>
        </w:rPr>
        <w:t xml:space="preserve"> </w:t>
      </w:r>
      <w:r>
        <w:t>Upozornenie na nevhodné postupy, ktoré by mohli viesť k revíznym postupom od uchádzačov a následnému pozastaveni</w:t>
      </w:r>
      <w:r>
        <w:t xml:space="preserve">u alebo zrušeniu vyhlásenie metód, prípadne uloženiu pokuty; </w:t>
      </w:r>
    </w:p>
    <w:p w:rsidR="00A403AE" w:rsidRDefault="00FC1071">
      <w:pPr>
        <w:ind w:left="567" w:firstLine="0"/>
      </w:pPr>
      <w:r>
        <w:t>3.3.8.</w:t>
      </w:r>
      <w:r>
        <w:rPr>
          <w:rFonts w:ascii="Arial" w:eastAsia="Arial" w:hAnsi="Arial" w:cs="Arial"/>
        </w:rPr>
        <w:t xml:space="preserve"> </w:t>
      </w:r>
      <w:r>
        <w:t xml:space="preserve">účasť na rokovaniach týkajúcich sa procesu VO.  </w:t>
      </w:r>
    </w:p>
    <w:p w:rsidR="00A403AE" w:rsidRDefault="00FC1071">
      <w:pPr>
        <w:spacing w:after="52"/>
        <w:ind w:left="495"/>
      </w:pPr>
      <w:r>
        <w:t>3.4.</w:t>
      </w:r>
      <w:r>
        <w:rPr>
          <w:rFonts w:ascii="Arial" w:eastAsia="Arial" w:hAnsi="Arial" w:cs="Arial"/>
        </w:rPr>
        <w:t xml:space="preserve"> </w:t>
      </w:r>
      <w:r>
        <w:t>Poradca zodpovedá za súlad súťažných podkladov so zákonom o VO, ich obsah a rozsah, za správnu aplikáciu zákona o VO v rámci výkonu s</w:t>
      </w:r>
      <w:r>
        <w:t>vojej činnosti pre objednávateľa, nezodpovedá však za správnosť rozhodnutí objednávateľa, príp. pracovnej skupiny alebo komisie, vymedzenie predmetu zákazky, rozsah a určenie predpokladanej hodnoty zákazky a obchodných podmienok dodania predmetu zákazky ob</w:t>
      </w:r>
      <w:r>
        <w:t xml:space="preserve">jednávateľom. </w:t>
      </w:r>
    </w:p>
    <w:p w:rsidR="00A403AE" w:rsidRDefault="00FC1071">
      <w:pPr>
        <w:spacing w:after="146" w:line="259" w:lineRule="auto"/>
        <w:ind w:left="142" w:firstLine="0"/>
        <w:jc w:val="left"/>
      </w:pPr>
      <w:r>
        <w:rPr>
          <w:b/>
        </w:rPr>
        <w:t xml:space="preserve">  </w:t>
      </w:r>
    </w:p>
    <w:p w:rsidR="00A403AE" w:rsidRDefault="00FC1071">
      <w:pPr>
        <w:pStyle w:val="Nadpis1"/>
        <w:ind w:left="927" w:right="430" w:hanging="360"/>
      </w:pPr>
      <w:r>
        <w:t xml:space="preserve">Práva a povinnosti zmluvných strán </w:t>
      </w:r>
    </w:p>
    <w:p w:rsidR="00A403AE" w:rsidRDefault="00FC1071">
      <w:pPr>
        <w:ind w:left="495"/>
      </w:pPr>
      <w:r>
        <w:t>4.1.</w:t>
      </w:r>
      <w:r>
        <w:rPr>
          <w:rFonts w:ascii="Arial" w:eastAsia="Arial" w:hAnsi="Arial" w:cs="Arial"/>
        </w:rPr>
        <w:t xml:space="preserve"> </w:t>
      </w:r>
      <w:r>
        <w:t>Poradca je pri poskytovaní poradenských a konzultačných služieb povinný zachovávať Ústavu a ostatné zákony, ako aj iné všeobecne záväzné právne predpisy a v medziach týchto predpisov je povinný ria</w:t>
      </w:r>
      <w:r>
        <w:t xml:space="preserve">diť sa príkazmi objednávateľa.  </w:t>
      </w:r>
    </w:p>
    <w:p w:rsidR="00A403AE" w:rsidRDefault="00FC1071">
      <w:pPr>
        <w:ind w:left="495"/>
      </w:pPr>
      <w:r>
        <w:t>4.2.</w:t>
      </w:r>
      <w:r>
        <w:rPr>
          <w:rFonts w:ascii="Arial" w:eastAsia="Arial" w:hAnsi="Arial" w:cs="Arial"/>
        </w:rPr>
        <w:t xml:space="preserve"> </w:t>
      </w:r>
      <w:r>
        <w:t>Poradca je povinný chrániť práva a oprávnené záujmy objednávateľa, konať čestne, svedomito a uplatňovať všetky oprávnené nároky objednávateľa, ktoré podľa svojho presvedčenia a príkazu objednávateľa pokladá za užitočné</w:t>
      </w:r>
      <w:r>
        <w:t xml:space="preserve">.  </w:t>
      </w:r>
    </w:p>
    <w:p w:rsidR="00A403AE" w:rsidRDefault="00FC1071">
      <w:pPr>
        <w:ind w:left="495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Poradca je povinný konať pri plnení tejto zmluvy podľa svojich schopností a znalostí a podľa príkazov objednávateľa. Od objednávateľových pokynov sa môže poradca odchýliť len vtedy, ak je to skutočne nevyhnutné v záujme objednávateľa a ak </w:t>
      </w:r>
      <w:r>
        <w:t xml:space="preserve">nemôže včas dostať jeho súhlas; inak zodpovedá za škodu. </w:t>
      </w:r>
    </w:p>
    <w:p w:rsidR="00A403AE" w:rsidRDefault="00FC1071">
      <w:pPr>
        <w:ind w:left="495"/>
      </w:pPr>
      <w:r>
        <w:t>4.4.</w:t>
      </w:r>
      <w:r>
        <w:rPr>
          <w:rFonts w:ascii="Arial" w:eastAsia="Arial" w:hAnsi="Arial" w:cs="Arial"/>
        </w:rPr>
        <w:t xml:space="preserve"> </w:t>
      </w:r>
      <w:r>
        <w:t xml:space="preserve">Poradca nie je viazaný príkazmi objednávateľa, pokiaľ ide o samostatný obsah poradenstva – konzultácie.  </w:t>
      </w:r>
    </w:p>
    <w:p w:rsidR="00A403AE" w:rsidRDefault="00FC1071">
      <w:pPr>
        <w:ind w:left="495"/>
      </w:pPr>
      <w:r>
        <w:t>4.5.</w:t>
      </w:r>
      <w:r>
        <w:rPr>
          <w:rFonts w:ascii="Arial" w:eastAsia="Arial" w:hAnsi="Arial" w:cs="Arial"/>
        </w:rPr>
        <w:t xml:space="preserve"> </w:t>
      </w:r>
      <w:r>
        <w:t>V prípade, ak by objednávateľ požadoval akékoľvek vysvetlenia v súvislosti s predm</w:t>
      </w:r>
      <w:r>
        <w:t xml:space="preserve">etom plnenia tejto zmluvy, poradca mu ich bezodkladne poskytne. V prípade, že bude doplnený, alebo rozšírený predmet tejto zmluvy, považuje sa toto doplnenie alebo rozšírenie za úkony naviac.  </w:t>
      </w:r>
    </w:p>
    <w:p w:rsidR="00A403AE" w:rsidRDefault="00FC1071">
      <w:pPr>
        <w:ind w:left="495"/>
      </w:pPr>
      <w:r>
        <w:t>4.6.</w:t>
      </w:r>
      <w:r>
        <w:rPr>
          <w:rFonts w:ascii="Arial" w:eastAsia="Arial" w:hAnsi="Arial" w:cs="Arial"/>
        </w:rPr>
        <w:t xml:space="preserve"> </w:t>
      </w:r>
      <w:r>
        <w:t>V rámci činnosti poradcu uvedenej v článku 3 tejto zmluvy</w:t>
      </w:r>
      <w:r>
        <w:t xml:space="preserve"> je objednávateľ povinný na svoje náklady poskytovať všetku potrebnú súčinnosť. Potrebnou súčinnosťou sa rozumie predovšetkým včasné dodanie potrebných pokynov, požiadaviek, informácií, listín a pod., ktoré si poradca písomne, alebo </w:t>
      </w:r>
      <w:r>
        <w:lastRenderedPageBreak/>
        <w:t>ústne vyžiadal, alebo k</w:t>
      </w:r>
      <w:r>
        <w:t xml:space="preserve">toré môžu podľa názoru objednávateľa slúžiť ako zmysluplný podkladový materiál pre prácu poradcu. </w:t>
      </w:r>
    </w:p>
    <w:p w:rsidR="00A403AE" w:rsidRDefault="00FC1071">
      <w:pPr>
        <w:ind w:left="495"/>
      </w:pPr>
      <w:r>
        <w:t>4.7.</w:t>
      </w:r>
      <w:r>
        <w:rPr>
          <w:rFonts w:ascii="Arial" w:eastAsia="Arial" w:hAnsi="Arial" w:cs="Arial"/>
        </w:rPr>
        <w:t xml:space="preserve"> </w:t>
      </w:r>
      <w:r>
        <w:t>V prípade, ak poradca zistí, že určité informácie, ktoré mu objednávateľ poskytol, sú nepravdivé, neodkladne o tejto skutočnosti upovedomí objednávateľa</w:t>
      </w:r>
      <w:r>
        <w:t xml:space="preserve">. </w:t>
      </w:r>
    </w:p>
    <w:p w:rsidR="00A403AE" w:rsidRDefault="00FC1071">
      <w:pPr>
        <w:ind w:left="495"/>
      </w:pPr>
      <w:r>
        <w:t xml:space="preserve">4.8. Pokiaľ by niektoré informácie, údaje, alebo hodnoty poskytnuté objednávateľom, neboli dostatočné, alebo kompletné, v takomto prípade je povinnosťou poradcu bez zbytočného odkladu požiadať objednávateľa o ich spresnenie a/alebo zabezpečenie. </w:t>
      </w:r>
    </w:p>
    <w:p w:rsidR="00A403AE" w:rsidRDefault="00FC1071">
      <w:pPr>
        <w:ind w:left="495"/>
      </w:pPr>
      <w:r>
        <w:t>4.9.</w:t>
      </w:r>
      <w:r>
        <w:rPr>
          <w:rFonts w:ascii="Arial" w:eastAsia="Arial" w:hAnsi="Arial" w:cs="Arial"/>
        </w:rPr>
        <w:t xml:space="preserve"> </w:t>
      </w:r>
      <w:r>
        <w:t xml:space="preserve">Za vecný a právny obsah poradcovi dodaných materiálov, podkladov, pokynov a informácií zodpovedá výlučne v plnom rozsahu poradca. </w:t>
      </w:r>
    </w:p>
    <w:p w:rsidR="00A403AE" w:rsidRDefault="00FC1071">
      <w:pPr>
        <w:ind w:left="495"/>
      </w:pPr>
      <w:r>
        <w:t>4.10.</w:t>
      </w:r>
      <w:r>
        <w:rPr>
          <w:rFonts w:ascii="Arial" w:eastAsia="Arial" w:hAnsi="Arial" w:cs="Arial"/>
        </w:rPr>
        <w:t xml:space="preserve"> </w:t>
      </w:r>
      <w:r>
        <w:t>Neposkytnutie náležitej súčinnosti má za následok vznik oprávnenia poradcu odstúpiť od tejto zmluvy. Tým nie je dotknut</w:t>
      </w:r>
      <w:r>
        <w:t xml:space="preserve">é jej právo požadovať zaplatenie všetkých, do momentu vypovedania tejto zmluvy vykonaných úkonov, pri konzultáciách a poradenstve a vedľajších nákladov s tým spojených. </w:t>
      </w:r>
    </w:p>
    <w:p w:rsidR="00A403AE" w:rsidRDefault="00FC1071">
      <w:pPr>
        <w:spacing w:after="52"/>
        <w:ind w:left="495"/>
      </w:pPr>
      <w:r>
        <w:t>4.11.</w:t>
      </w:r>
      <w:r>
        <w:rPr>
          <w:rFonts w:ascii="Arial" w:eastAsia="Arial" w:hAnsi="Arial" w:cs="Arial"/>
        </w:rPr>
        <w:t xml:space="preserve"> </w:t>
      </w:r>
      <w:r>
        <w:t>Poradca bude písomne a bez meškania informovať objednávateľa o akýchkoľvek okoln</w:t>
      </w:r>
      <w:r>
        <w:t xml:space="preserve">ostiach, ktoré by mu mohli prekážať pri realizácii tejto zmluvy.        </w:t>
      </w:r>
    </w:p>
    <w:p w:rsidR="00A403AE" w:rsidRDefault="00FC1071">
      <w:pPr>
        <w:spacing w:after="71" w:line="259" w:lineRule="auto"/>
        <w:ind w:left="500" w:firstLine="0"/>
        <w:jc w:val="left"/>
      </w:pPr>
      <w:r>
        <w:t xml:space="preserve"> </w:t>
      </w:r>
    </w:p>
    <w:p w:rsidR="00A403AE" w:rsidRDefault="00FC1071">
      <w:pPr>
        <w:pStyle w:val="Nadpis1"/>
        <w:ind w:left="927" w:right="428" w:hanging="360"/>
      </w:pPr>
      <w:r>
        <w:t xml:space="preserve">Lehota plnenia </w:t>
      </w:r>
    </w:p>
    <w:p w:rsidR="00A403AE" w:rsidRDefault="00FC1071">
      <w:pPr>
        <w:ind w:left="495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Poradca sa zaväzuje, že záväzky vyplývajúce z tejto zmluvy bude plniť v najkratšom možnom termíne a to na základe zákona o VO a vykonávacích predpisov ako aj v </w:t>
      </w:r>
      <w:r>
        <w:t xml:space="preserve">zmysle pokynov a spresnení objednávateľa. </w:t>
      </w:r>
    </w:p>
    <w:p w:rsidR="00A403AE" w:rsidRDefault="00FC1071">
      <w:pPr>
        <w:spacing w:after="52"/>
        <w:ind w:left="495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Poradca nezodpovedá za nedodržanie termínov plnenia a vady spôsobených neposkytnutím včasnej a riadnej súčinnosti podľa článku 2 tejto zmluvy. </w:t>
      </w:r>
    </w:p>
    <w:p w:rsidR="00A403AE" w:rsidRDefault="00FC1071">
      <w:pPr>
        <w:spacing w:after="146" w:line="259" w:lineRule="auto"/>
        <w:ind w:left="502" w:firstLine="0"/>
        <w:jc w:val="left"/>
      </w:pPr>
      <w:r>
        <w:rPr>
          <w:b/>
        </w:rPr>
        <w:t xml:space="preserve"> </w:t>
      </w:r>
    </w:p>
    <w:p w:rsidR="00A403AE" w:rsidRDefault="00FC1071">
      <w:pPr>
        <w:pStyle w:val="Nadpis1"/>
        <w:ind w:left="928" w:right="430" w:hanging="361"/>
      </w:pPr>
      <w:r>
        <w:t xml:space="preserve">Odmena za služby a platobné podmienky </w:t>
      </w:r>
    </w:p>
    <w:p w:rsidR="00A403AE" w:rsidRDefault="00FC1071">
      <w:pPr>
        <w:spacing w:after="42"/>
        <w:ind w:left="495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Zmluvné strany sa </w:t>
      </w:r>
      <w:r>
        <w:t xml:space="preserve">dohodli na odmene za činnosť poradcu podľa tejto zmluvy, a to vo výške podľa druhu predmetu zákazky, v rámci ktorej poradca vykonáva činnosti v oblasti VO nasledovne: Odmena za činnosť poradcu je splatná v dvoch častiach: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prvá časť vo výške 500,00 EUR (s</w:t>
      </w:r>
      <w:r>
        <w:t xml:space="preserve">lovom päťsto eur), 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druhá časť vo výške 500,00 EUR (slovom päťsto eur) a vo výške hotových výdavkov týkajúcich sa správnych, poštových a obdobných výdavkov.  </w:t>
      </w:r>
    </w:p>
    <w:p w:rsidR="00A403AE" w:rsidRDefault="00FC1071">
      <w:pPr>
        <w:ind w:left="569" w:firstLine="0"/>
      </w:pPr>
      <w:r>
        <w:t xml:space="preserve">Uvedené ceny sú bez DPH; DPH bude stanovená podľa zákona o DPH platného ku dňu  fakturácie. </w:t>
      </w:r>
    </w:p>
    <w:p w:rsidR="00A403AE" w:rsidRDefault="00FC1071">
      <w:pPr>
        <w:ind w:left="495"/>
      </w:pPr>
      <w:r>
        <w:t>6.</w:t>
      </w: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Odmena za daný predmet zákazky podľa bodu 6.1. tohto článku je splatná nasledovným spôsobom: poradca vystaví faktúru na prvú časť odmeny k danému predmetu zákazky ihneď po odoslaní Výzvy na predkladanie ponúk do vestníka Úradu pre verejné obstarávanie, </w:t>
      </w:r>
      <w:r>
        <w:t xml:space="preserve">so splatnosťou 14 dní od dňa vystavenia faktúry. Druhá časť odmeny je splatná po vykonaní činnosti poradcom v procese VO. Strany si dohodli splatnosť 3 dni odo dňa vystavenia druhej faktúry. </w:t>
      </w:r>
    </w:p>
    <w:p w:rsidR="00A403AE" w:rsidRDefault="00FC1071">
      <w:pPr>
        <w:ind w:left="495"/>
      </w:pPr>
      <w:r>
        <w:t>6.3.</w:t>
      </w:r>
      <w:r>
        <w:rPr>
          <w:rFonts w:ascii="Arial" w:eastAsia="Arial" w:hAnsi="Arial" w:cs="Arial"/>
        </w:rPr>
        <w:t xml:space="preserve"> </w:t>
      </w:r>
      <w:r>
        <w:t>Objednávateľ je povinný uhradiť faktúry poradcovi najneskôr v deň ich splatnosti na bankový účet poradcu uvedený v záhlaví tejto zmluvy. Za deň úhrady odmeny sa považuje deň pripísania peňažnej čiastky vo fakturovanej výške (vrátane DPH) na bankový účet po</w:t>
      </w:r>
      <w:r>
        <w:t xml:space="preserve">radcu. </w:t>
      </w:r>
    </w:p>
    <w:p w:rsidR="00A403AE" w:rsidRDefault="00FC1071">
      <w:pPr>
        <w:spacing w:after="52"/>
        <w:ind w:left="495"/>
      </w:pPr>
      <w:r>
        <w:t>6.4.</w:t>
      </w:r>
      <w:r>
        <w:rPr>
          <w:rFonts w:ascii="Arial" w:eastAsia="Arial" w:hAnsi="Arial" w:cs="Arial"/>
        </w:rPr>
        <w:t xml:space="preserve"> </w:t>
      </w:r>
      <w:r>
        <w:t>Strany sa dohodli, že odmena zahŕňa všetky hotové výdavky nevyhnutne a účelne vynaložené poradcom pri plnení svojho záväzku podľa tejto zmluvy (najmä administratívne, cestovné, telekomunikačné výdavky), s výnimkou správnych, poštových a obdobn</w:t>
      </w:r>
      <w:r>
        <w:t>ých poplatkov. Vzhľadom na uvedené, sa strany dohodli, že objednávateľ nie je oprávnený žiadať od poskytovateľa presnú špecifikáciu hotových výdavkov týkajúcich sa administratívnych, cestovných a telekomunikačných výdavkov. Poskytovateľ služieb predloží ob</w:t>
      </w:r>
      <w:r>
        <w:t xml:space="preserve">jednávateľovi presnú špecifikáciu hotových výdavkov týkajúcich sa správnych, poštových a obdobných výdavkov. </w:t>
      </w:r>
    </w:p>
    <w:p w:rsidR="00A403AE" w:rsidRDefault="00FC1071">
      <w:pPr>
        <w:spacing w:after="70" w:line="259" w:lineRule="auto"/>
        <w:ind w:left="500" w:firstLine="0"/>
        <w:jc w:val="left"/>
      </w:pPr>
      <w:r>
        <w:t xml:space="preserve"> </w:t>
      </w:r>
    </w:p>
    <w:p w:rsidR="00A403AE" w:rsidRDefault="00FC1071">
      <w:pPr>
        <w:pStyle w:val="Nadpis1"/>
        <w:ind w:left="927" w:right="432" w:hanging="360"/>
      </w:pPr>
      <w:r>
        <w:lastRenderedPageBreak/>
        <w:t xml:space="preserve">Iné dohody </w:t>
      </w:r>
    </w:p>
    <w:p w:rsidR="00A403AE" w:rsidRDefault="00FC1071">
      <w:pPr>
        <w:ind w:left="495"/>
      </w:pPr>
      <w:r>
        <w:t>7.1.</w:t>
      </w:r>
      <w:r>
        <w:rPr>
          <w:rFonts w:ascii="Arial" w:eastAsia="Arial" w:hAnsi="Arial" w:cs="Arial"/>
        </w:rPr>
        <w:t xml:space="preserve"> </w:t>
      </w:r>
      <w:r>
        <w:t>Poradca na vyžiadanie vráti všetky dokumenty alebo iné pomôcky, ktoré mu boli poskytnuté objednávateľom pre účely realizácie te</w:t>
      </w:r>
      <w:r>
        <w:t xml:space="preserve">jto zmluvy. </w:t>
      </w:r>
    </w:p>
    <w:p w:rsidR="00A403AE" w:rsidRDefault="00FC1071">
      <w:pPr>
        <w:ind w:left="495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Objednávateľ sa zaväzuje dať poradcovi všetky potrebné splnomocnenia pre potreby vyplývajúce z tejto zmluvy. </w:t>
      </w:r>
    </w:p>
    <w:p w:rsidR="00A403AE" w:rsidRDefault="00FC1071">
      <w:pPr>
        <w:spacing w:after="49"/>
        <w:ind w:left="495"/>
      </w:pPr>
      <w:r>
        <w:t>7.3. Strany sa dohodli, že ustanoveniami tejto zmluvy nie sú a nemôžu byť akýmkoľvek spôsobom dotknuté alebo obmedzené práva kto</w:t>
      </w:r>
      <w:r>
        <w:t xml:space="preserve">rejkoľvek zmluvnej strany vyplývajúce z duševného vlastníctva. </w:t>
      </w:r>
    </w:p>
    <w:p w:rsidR="00A403AE" w:rsidRDefault="00FC1071">
      <w:pPr>
        <w:spacing w:after="71" w:line="259" w:lineRule="auto"/>
        <w:ind w:left="500" w:firstLine="0"/>
        <w:jc w:val="left"/>
      </w:pPr>
      <w:r>
        <w:t xml:space="preserve"> </w:t>
      </w:r>
    </w:p>
    <w:p w:rsidR="00A403AE" w:rsidRDefault="00FC1071">
      <w:pPr>
        <w:pStyle w:val="Nadpis1"/>
        <w:ind w:left="927" w:right="426" w:hanging="360"/>
      </w:pPr>
      <w:r>
        <w:t xml:space="preserve">Oznamovanie </w:t>
      </w:r>
    </w:p>
    <w:p w:rsidR="00A403AE" w:rsidRDefault="00FC1071">
      <w:pPr>
        <w:spacing w:after="52"/>
        <w:ind w:left="495"/>
      </w:pPr>
      <w:r>
        <w:t>8.1.</w:t>
      </w:r>
      <w:r>
        <w:rPr>
          <w:rFonts w:ascii="Arial" w:eastAsia="Arial" w:hAnsi="Arial" w:cs="Arial"/>
        </w:rPr>
        <w:t xml:space="preserve"> </w:t>
      </w:r>
      <w:r>
        <w:t>Okrem prípadov výslovne uvedených v tejto zmluve, budú všetky oznámenia medzi zmluvnými stranami uskutočnené v písomnej forme v slovenskom jazyku a odovzdané osobne, či odo</w:t>
      </w:r>
      <w:r>
        <w:t>slané písomne – doporučenou listovou zásielkou alebo faxom, alebo e-mailom a to na e-mailovú adresu druhej zmluvnej strany uvedenú v tejto zmluve vrátane mena a priezviska alebo na inú adresu príp. inému príjemcovi, ktorý bude určený dotknutou zmluvnou str</w:t>
      </w:r>
      <w:r>
        <w:t xml:space="preserve">anou. </w:t>
      </w:r>
    </w:p>
    <w:p w:rsidR="00A403AE" w:rsidRDefault="00FC1071">
      <w:pPr>
        <w:spacing w:after="71" w:line="259" w:lineRule="auto"/>
        <w:ind w:left="500" w:firstLine="0"/>
        <w:jc w:val="left"/>
      </w:pPr>
      <w:r>
        <w:t xml:space="preserve"> </w:t>
      </w:r>
    </w:p>
    <w:p w:rsidR="00A403AE" w:rsidRDefault="00FC1071">
      <w:pPr>
        <w:pStyle w:val="Nadpis1"/>
        <w:ind w:left="927" w:right="431" w:hanging="360"/>
      </w:pPr>
      <w:r>
        <w:t xml:space="preserve">Všeobecné a záverečné ustanovenia </w:t>
      </w:r>
    </w:p>
    <w:p w:rsidR="00A403AE" w:rsidRDefault="00FC1071">
      <w:pPr>
        <w:ind w:left="495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Táto zmluva sa stáva platnou a účinnou okamihom pripojenia podpisu oboch zmluvných strán a uzatvára sa na dobu neurčitú.  </w:t>
      </w:r>
    </w:p>
    <w:p w:rsidR="00A403AE" w:rsidRDefault="00FC1071">
      <w:pPr>
        <w:ind w:left="495"/>
      </w:pPr>
      <w:r>
        <w:t>9.2.</w:t>
      </w:r>
      <w:r>
        <w:rPr>
          <w:rFonts w:ascii="Arial" w:eastAsia="Arial" w:hAnsi="Arial" w:cs="Arial"/>
        </w:rPr>
        <w:t xml:space="preserve"> </w:t>
      </w:r>
      <w:r>
        <w:t>Táto zmluva je vyhotovená v dvoch exemplároch, pričom každý má povahu originálu</w:t>
      </w:r>
      <w:r>
        <w:t xml:space="preserve">. Každá zmluvná strana </w:t>
      </w:r>
      <w:proofErr w:type="spellStart"/>
      <w:r>
        <w:t>obdrží</w:t>
      </w:r>
      <w:proofErr w:type="spellEnd"/>
      <w:r>
        <w:t xml:space="preserve"> jeden exemplár tejto zmluvy. </w:t>
      </w:r>
    </w:p>
    <w:p w:rsidR="00A403AE" w:rsidRDefault="00FC1071">
      <w:pPr>
        <w:ind w:left="495"/>
      </w:pPr>
      <w:r>
        <w:t>9.3.</w:t>
      </w:r>
      <w:r>
        <w:rPr>
          <w:rFonts w:ascii="Arial" w:eastAsia="Arial" w:hAnsi="Arial" w:cs="Arial"/>
        </w:rPr>
        <w:t xml:space="preserve"> </w:t>
      </w:r>
      <w:r>
        <w:t xml:space="preserve">Zmluvné strany sa dohodli, že meniť, alebo dopĺňať túto zmluvu možno len formou obojstranne potvrdených písomných dodatkov k tejto zmluve.  </w:t>
      </w:r>
    </w:p>
    <w:p w:rsidR="00A403AE" w:rsidRDefault="00FC1071">
      <w:pPr>
        <w:ind w:left="495"/>
      </w:pPr>
      <w:r>
        <w:t>9.4.</w:t>
      </w:r>
      <w:r>
        <w:rPr>
          <w:rFonts w:ascii="Arial" w:eastAsia="Arial" w:hAnsi="Arial" w:cs="Arial"/>
        </w:rPr>
        <w:t xml:space="preserve"> </w:t>
      </w:r>
      <w:r>
        <w:t>Ak niektoré ustanovenia tejto zmluvy neskôr stratia účinnosť, nie je tým dotknutá platnosť ostatných ustanovení. Namiesto neúčinných ustanovení a na vyplnenie medzier sa použije úprava, ktorá, pokiaľ je to právne možné, sa čo najviac približuje zmyslu a úč</w:t>
      </w:r>
      <w:r>
        <w:t xml:space="preserve">elu tejto zmluvy.  </w:t>
      </w:r>
    </w:p>
    <w:p w:rsidR="00A403AE" w:rsidRDefault="00FC1071">
      <w:pPr>
        <w:ind w:left="495"/>
      </w:pPr>
      <w:r>
        <w:t>9.5.</w:t>
      </w:r>
      <w:r>
        <w:rPr>
          <w:rFonts w:ascii="Arial" w:eastAsia="Arial" w:hAnsi="Arial" w:cs="Arial"/>
        </w:rPr>
        <w:t xml:space="preserve"> </w:t>
      </w:r>
      <w:r>
        <w:t xml:space="preserve">Právne vzťahy vyplývajúce z tejto zmluvy sa riadia právnym poriadkom Slovenskej republiky, najmä ustanoveniami Obchodného zákonníka č. 513/1991 Zb. v platnom znení ku dňu nadobudnutia platnosti tejto zmluvy. </w:t>
      </w:r>
    </w:p>
    <w:p w:rsidR="00A403AE" w:rsidRDefault="00FC1071">
      <w:pPr>
        <w:ind w:left="495"/>
      </w:pPr>
      <w:r>
        <w:t>9.6.</w:t>
      </w:r>
      <w:r>
        <w:rPr>
          <w:rFonts w:ascii="Arial" w:eastAsia="Arial" w:hAnsi="Arial" w:cs="Arial"/>
        </w:rPr>
        <w:t xml:space="preserve"> </w:t>
      </w:r>
      <w:r>
        <w:t>Táto zmluva je pl</w:t>
      </w:r>
      <w:r>
        <w:t xml:space="preserve">atná dňom podpisu zmluvnými stranami a účinná dňom nasledujúcim po dni jej zverejnenia na web stránke objednávateľa (www.sterusy.sk).  </w:t>
      </w:r>
    </w:p>
    <w:p w:rsidR="00A403AE" w:rsidRDefault="00FC1071">
      <w:pPr>
        <w:ind w:left="495"/>
      </w:pPr>
      <w:r>
        <w:t>9.7.</w:t>
      </w:r>
      <w:r>
        <w:rPr>
          <w:rFonts w:ascii="Arial" w:eastAsia="Arial" w:hAnsi="Arial" w:cs="Arial"/>
        </w:rPr>
        <w:t xml:space="preserve"> </w:t>
      </w:r>
      <w:r>
        <w:t xml:space="preserve">Odborným garantom za správnosť aplikácie zákona o VO </w:t>
      </w:r>
      <w:r>
        <w:t xml:space="preserve">podľa článku 3 tejto zmluvy za stranu poradcu je spoločnosť PREVAX </w:t>
      </w:r>
      <w:proofErr w:type="spellStart"/>
      <w:r>
        <w:t>s.r.o</w:t>
      </w:r>
      <w:proofErr w:type="spellEnd"/>
      <w:r>
        <w:t xml:space="preserve">., IČO: 44921314 a to na základe písomnej zmluvy obsahujúcej záväzok, že bude k dispozícii počas celého trvania Zmluvy o NFP medzi Obcou a PPA. Zodpovednou osobou je Mgr. Eva </w:t>
      </w:r>
      <w:proofErr w:type="spellStart"/>
      <w:r>
        <w:t>Princová</w:t>
      </w:r>
      <w:proofErr w:type="spellEnd"/>
      <w:r>
        <w:t>.</w:t>
      </w:r>
      <w:r>
        <w:t xml:space="preserve"> </w:t>
      </w:r>
    </w:p>
    <w:p w:rsidR="00A403AE" w:rsidRDefault="00FC1071">
      <w:pPr>
        <w:ind w:left="495"/>
      </w:pPr>
      <w:r>
        <w:t>9.8.</w:t>
      </w:r>
      <w:r>
        <w:rPr>
          <w:rFonts w:ascii="Arial" w:eastAsia="Arial" w:hAnsi="Arial" w:cs="Arial"/>
        </w:rPr>
        <w:t xml:space="preserve"> </w:t>
      </w:r>
      <w:r>
        <w:t xml:space="preserve">Zmluvné strany si túto zmluvu prečítali, porozumeli jej a na znak súhlasu s ňou, ju dobrovoľne a vážne podpisujú.  </w:t>
      </w:r>
    </w:p>
    <w:p w:rsidR="00A403AE" w:rsidRDefault="00FC1071">
      <w:pPr>
        <w:ind w:left="495"/>
      </w:pPr>
      <w:r>
        <w:t>9.9.</w:t>
      </w:r>
      <w:r>
        <w:rPr>
          <w:rFonts w:ascii="Arial" w:eastAsia="Arial" w:hAnsi="Arial" w:cs="Arial"/>
        </w:rPr>
        <w:t xml:space="preserve"> </w:t>
      </w:r>
      <w:r>
        <w:t xml:space="preserve">Zmluvné strany vyhlasujú, že túto zmluvu neuzatvárajú za nevýhodných podmienok pre ktorúkoľvek zmluvnú stranu. </w:t>
      </w:r>
    </w:p>
    <w:p w:rsidR="00A403AE" w:rsidRDefault="00FC1071">
      <w:pPr>
        <w:spacing w:after="232" w:line="259" w:lineRule="auto"/>
        <w:ind w:left="502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A403AE" w:rsidRDefault="00FC1071">
      <w:pPr>
        <w:tabs>
          <w:tab w:val="center" w:pos="1699"/>
          <w:tab w:val="center" w:pos="3335"/>
          <w:tab w:val="center" w:pos="6155"/>
        </w:tabs>
        <w:spacing w:after="228"/>
        <w:ind w:left="0" w:firstLine="0"/>
        <w:jc w:val="left"/>
      </w:pPr>
      <w:r>
        <w:tab/>
      </w:r>
      <w:r>
        <w:t>V Šteruso</w:t>
      </w:r>
      <w:r>
        <w:t xml:space="preserve">ch, dňa:............... </w:t>
      </w:r>
      <w:r>
        <w:tab/>
      </w:r>
      <w:r>
        <w:rPr>
          <w:b/>
        </w:rPr>
        <w:t xml:space="preserve"> </w:t>
      </w:r>
      <w:r>
        <w:rPr>
          <w:b/>
        </w:rPr>
        <w:tab/>
      </w:r>
      <w:r>
        <w:t>V Trnave, dňa: ...............</w:t>
      </w:r>
      <w:r>
        <w:rPr>
          <w:b/>
        </w:rPr>
        <w:t xml:space="preserve"> </w:t>
      </w:r>
    </w:p>
    <w:p w:rsidR="00A403AE" w:rsidRDefault="00FC1071">
      <w:pPr>
        <w:spacing w:after="232" w:line="259" w:lineRule="auto"/>
        <w:ind w:left="502" w:firstLine="0"/>
        <w:jc w:val="left"/>
      </w:pPr>
      <w:r>
        <w:rPr>
          <w:b/>
        </w:rPr>
        <w:t xml:space="preserve"> </w:t>
      </w:r>
    </w:p>
    <w:p w:rsidR="00A403AE" w:rsidRDefault="00FC1071">
      <w:pPr>
        <w:tabs>
          <w:tab w:val="center" w:pos="1326"/>
          <w:tab w:val="center" w:pos="3368"/>
          <w:tab w:val="center" w:pos="5608"/>
        </w:tabs>
        <w:spacing w:after="236" w:line="256" w:lineRule="auto"/>
        <w:ind w:left="0" w:firstLine="0"/>
        <w:jc w:val="left"/>
      </w:pPr>
      <w:r>
        <w:tab/>
      </w:r>
      <w:r>
        <w:rPr>
          <w:b/>
        </w:rPr>
        <w:t xml:space="preserve">Za objednávateľa: </w:t>
      </w:r>
      <w:r>
        <w:rPr>
          <w:b/>
        </w:rPr>
        <w:tab/>
        <w:t xml:space="preserve"> </w:t>
      </w:r>
      <w:r>
        <w:rPr>
          <w:b/>
        </w:rPr>
        <w:tab/>
        <w:t xml:space="preserve">Za poradcu: </w:t>
      </w:r>
    </w:p>
    <w:p w:rsidR="00A403AE" w:rsidRDefault="00FC1071">
      <w:pPr>
        <w:spacing w:after="232" w:line="259" w:lineRule="auto"/>
        <w:ind w:left="502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</w:p>
    <w:p w:rsidR="00A403AE" w:rsidRDefault="00FC1071">
      <w:pPr>
        <w:spacing w:after="218" w:line="259" w:lineRule="auto"/>
        <w:ind w:left="502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403AE" w:rsidRDefault="00FC1071">
      <w:pPr>
        <w:spacing w:after="0" w:line="259" w:lineRule="auto"/>
        <w:ind w:left="502" w:firstLine="0"/>
        <w:jc w:val="left"/>
      </w:pPr>
      <w:r>
        <w:rPr>
          <w:b/>
        </w:rPr>
        <w:t xml:space="preserve"> </w:t>
      </w:r>
    </w:p>
    <w:p w:rsidR="00A403AE" w:rsidRDefault="00FC1071">
      <w:pPr>
        <w:spacing w:after="50" w:line="259" w:lineRule="auto"/>
        <w:ind w:left="3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792041" cy="9144"/>
                <wp:effectExtent l="0" t="0" r="0" b="0"/>
                <wp:docPr id="5770" name="Group 5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2041" cy="9144"/>
                          <a:chOff x="0" y="0"/>
                          <a:chExt cx="4792041" cy="9144"/>
                        </a:xfrm>
                      </wpg:grpSpPr>
                      <wps:wsp>
                        <wps:cNvPr id="1100" name="Shape 1100"/>
                        <wps:cNvSpPr/>
                        <wps:spPr>
                          <a:xfrm>
                            <a:off x="0" y="0"/>
                            <a:ext cx="1821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10">
                                <a:moveTo>
                                  <a:pt x="0" y="0"/>
                                </a:moveTo>
                                <a:lnTo>
                                  <a:pt x="182151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72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900503" y="0"/>
                            <a:ext cx="18915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72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6FBD5" id="Group 5770" o:spid="_x0000_s1026" style="width:377.35pt;height:.7pt;mso-position-horizontal-relative:char;mso-position-vertical-relative:line" coordsize="4792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">
                <v:shape id="Shape 1100" o:spid="_x0000_s1027" style="position:absolute;width:18215;height:0;visibility:visible;mso-wrap-style:square;v-text-anchor:top" coordsize="18215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n/sYA&#10;AADdAAAADwAAAGRycy9kb3ducmV2LnhtbESPQWvCQBCF7wX/wzJCL0V3lVIkuooGSksLFaPeh+yY&#10;BLOzIbvV9N93DoXeZnhv3vtmtRl8q27UxyawhdnUgCIug2u4snA6vk4WoGJCdtgGJgs/FGGzHj2s&#10;MHPhzge6FalSEsIxQwt1Sl2mdSxr8hinoSMW7RJ6j0nWvtKux7uE+1bPjXnRHhuWhho7ymsqr8W3&#10;t/D89faUeDcvz/ln3rAp9qeP7d7ax/GwXYJKNKR/89/1uxP8mRF+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Rn/sYAAADdAAAADwAAAAAAAAAAAAAAAACYAgAAZHJz&#10;L2Rvd25yZXYueG1sUEsFBgAAAAAEAAQA9QAAAIsDAAAAAA==&#10;" path="m,l1821510,e" filled="f" strokeweight=".72pt">
                  <v:path arrowok="t" textboxrect="0,0,1821510,0"/>
                </v:shape>
                <v:shape id="Shape 1101" o:spid="_x0000_s1028" style="position:absolute;left:29005;width:18915;height:0;visibility:visible;mso-wrap-style:square;v-text-anchor:top" coordsize="18915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8FdsQA&#10;AADdAAAADwAAAGRycy9kb3ducmV2LnhtbERP22rCQBB9L/gPywi+FLOJD0VSN+KFgkhLNfUDhuyY&#10;DWZnQ3Yb4993C4W+zeFcZ7UebSsG6n3jWEGWpCCIK6cbrhVcvt7mSxA+IGtsHZOCB3lYF5OnFeba&#10;3flMQxlqEUPY56jAhNDlUvrKkEWfuI44clfXWwwR9rXUPd5juG3lIk1fpMWGY4PBjnaGqlv5bRW8&#10;18+f5mN5HtqTu4X9o9xU2+NJqdl03LyCCDSGf/Gf+6Dj/CzN4PebeII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/BXbEAAAA3QAAAA8AAAAAAAAAAAAAAAAAmAIAAGRycy9k&#10;b3ducmV2LnhtbFBLBQYAAAAABAAEAPUAAACJAwAAAAA=&#10;" path="m,l1891538,e" filled="f" strokeweight=".72pt">
                  <v:path arrowok="t" textboxrect="0,0,1891538,0"/>
                </v:shape>
                <w10:anchorlock/>
              </v:group>
            </w:pict>
          </mc:Fallback>
        </mc:AlternateContent>
      </w:r>
    </w:p>
    <w:p w:rsidR="002242D0" w:rsidRDefault="00FC1071">
      <w:pPr>
        <w:spacing w:after="2" w:line="256" w:lineRule="auto"/>
        <w:ind w:left="1229" w:right="1727" w:hanging="415"/>
        <w:jc w:val="left"/>
        <w:rPr>
          <w:b/>
        </w:rPr>
      </w:pPr>
      <w:r>
        <w:rPr>
          <w:b/>
        </w:rPr>
        <w:t xml:space="preserve">Bc. Zdenka </w:t>
      </w:r>
      <w:proofErr w:type="spellStart"/>
      <w:r>
        <w:rPr>
          <w:b/>
        </w:rPr>
        <w:t>Vlkovičová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2242D0">
        <w:rPr>
          <w:b/>
        </w:rPr>
        <w:t xml:space="preserve">                               </w:t>
      </w:r>
      <w:r>
        <w:rPr>
          <w:b/>
        </w:rPr>
        <w:t xml:space="preserve">Ing. </w:t>
      </w:r>
      <w:r w:rsidR="002242D0">
        <w:rPr>
          <w:b/>
        </w:rPr>
        <w:t xml:space="preserve">Boris Princ  </w:t>
      </w:r>
      <w:r w:rsidR="002242D0">
        <w:rPr>
          <w:b/>
        </w:rPr>
        <w:tab/>
      </w:r>
    </w:p>
    <w:p w:rsidR="00A403AE" w:rsidRDefault="002242D0">
      <w:pPr>
        <w:spacing w:after="2" w:line="256" w:lineRule="auto"/>
        <w:ind w:left="1229" w:right="1727" w:hanging="415"/>
        <w:jc w:val="left"/>
      </w:pPr>
      <w:r>
        <w:rPr>
          <w:b/>
        </w:rPr>
        <w:t>starostka</w:t>
      </w:r>
      <w:r>
        <w:rPr>
          <w:b/>
        </w:rPr>
        <w:t xml:space="preserve"> </w:t>
      </w:r>
      <w:r w:rsidR="00FC1071">
        <w:rPr>
          <w:b/>
        </w:rPr>
        <w:t xml:space="preserve">Obec Šterusy </w:t>
      </w:r>
      <w:r w:rsidR="00FC1071">
        <w:rPr>
          <w:b/>
        </w:rPr>
        <w:tab/>
      </w:r>
      <w:r>
        <w:rPr>
          <w:b/>
        </w:rPr>
        <w:t xml:space="preserve">                      </w:t>
      </w:r>
      <w:r>
        <w:rPr>
          <w:b/>
        </w:rPr>
        <w:t xml:space="preserve">konateľ spoločnosti  </w:t>
      </w:r>
      <w:r w:rsidR="00FC1071">
        <w:rPr>
          <w:b/>
        </w:rPr>
        <w:t xml:space="preserve">PROTEUS </w:t>
      </w:r>
      <w:proofErr w:type="spellStart"/>
      <w:r w:rsidR="00FC1071">
        <w:rPr>
          <w:b/>
        </w:rPr>
        <w:t>s.r.o</w:t>
      </w:r>
      <w:proofErr w:type="spellEnd"/>
      <w:r w:rsidR="00FC1071">
        <w:rPr>
          <w:b/>
        </w:rPr>
        <w:t xml:space="preserve">. </w:t>
      </w:r>
    </w:p>
    <w:p w:rsidR="00A403AE" w:rsidRDefault="00FC1071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sectPr w:rsidR="00A403AE">
      <w:footerReference w:type="even" r:id="rId7"/>
      <w:footerReference w:type="default" r:id="rId8"/>
      <w:footerReference w:type="first" r:id="rId9"/>
      <w:pgSz w:w="11906" w:h="16838"/>
      <w:pgMar w:top="1318" w:right="1127" w:bottom="999" w:left="1135" w:header="708" w:footer="1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71" w:rsidRDefault="00FC1071">
      <w:pPr>
        <w:spacing w:after="0" w:line="240" w:lineRule="auto"/>
      </w:pPr>
      <w:r>
        <w:separator/>
      </w:r>
    </w:p>
  </w:endnote>
  <w:endnote w:type="continuationSeparator" w:id="0">
    <w:p w:rsidR="00FC1071" w:rsidRDefault="00F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AE" w:rsidRDefault="00FC1071">
    <w:pPr>
      <w:spacing w:after="0" w:line="259" w:lineRule="auto"/>
      <w:ind w:left="1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 w:rsidR="002242D0">
      <w:rPr>
        <w:noProof/>
      </w:rPr>
      <w:t>5</w:t>
    </w:r>
    <w:r>
      <w:fldChar w:fldCharType="end"/>
    </w:r>
    <w:r>
      <w:t xml:space="preserve"> </w:t>
    </w:r>
  </w:p>
  <w:p w:rsidR="00A403AE" w:rsidRDefault="00FC1071">
    <w:pPr>
      <w:spacing w:after="0" w:line="259" w:lineRule="auto"/>
      <w:ind w:left="14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AE" w:rsidRDefault="00FC1071">
    <w:pPr>
      <w:spacing w:after="0" w:line="259" w:lineRule="auto"/>
      <w:ind w:left="1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2D0">
      <w:rPr>
        <w:noProof/>
      </w:rPr>
      <w:t>5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 w:rsidR="002242D0">
      <w:rPr>
        <w:noProof/>
      </w:rPr>
      <w:t>5</w:t>
    </w:r>
    <w:r>
      <w:fldChar w:fldCharType="end"/>
    </w:r>
    <w:r>
      <w:t xml:space="preserve"> </w:t>
    </w:r>
  </w:p>
  <w:p w:rsidR="00A403AE" w:rsidRDefault="00FC1071">
    <w:pPr>
      <w:spacing w:after="0" w:line="259" w:lineRule="auto"/>
      <w:ind w:left="14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3AE" w:rsidRDefault="00FC1071">
    <w:pPr>
      <w:spacing w:after="0" w:line="259" w:lineRule="auto"/>
      <w:ind w:left="1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</w:instrText>
    </w:r>
    <w:r>
      <w:instrText xml:space="preserve">AT </w:instrText>
    </w:r>
    <w:r>
      <w:fldChar w:fldCharType="separate"/>
    </w:r>
    <w:r w:rsidR="002242D0">
      <w:rPr>
        <w:noProof/>
      </w:rPr>
      <w:t>5</w:t>
    </w:r>
    <w:r>
      <w:fldChar w:fldCharType="end"/>
    </w:r>
    <w:r>
      <w:t xml:space="preserve"> </w:t>
    </w:r>
  </w:p>
  <w:p w:rsidR="00A403AE" w:rsidRDefault="00FC1071">
    <w:pPr>
      <w:spacing w:after="0" w:line="259" w:lineRule="auto"/>
      <w:ind w:left="14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71" w:rsidRDefault="00FC1071">
      <w:pPr>
        <w:spacing w:after="0" w:line="240" w:lineRule="auto"/>
      </w:pPr>
      <w:r>
        <w:separator/>
      </w:r>
    </w:p>
  </w:footnote>
  <w:footnote w:type="continuationSeparator" w:id="0">
    <w:p w:rsidR="00FC1071" w:rsidRDefault="00FC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0D32"/>
    <w:multiLevelType w:val="hybridMultilevel"/>
    <w:tmpl w:val="C126711E"/>
    <w:lvl w:ilvl="0" w:tplc="EBCA339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6F174">
      <w:start w:val="1"/>
      <w:numFmt w:val="lowerLetter"/>
      <w:lvlText w:val="%2"/>
      <w:lvlJc w:val="left"/>
      <w:pPr>
        <w:ind w:left="47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4435A">
      <w:start w:val="1"/>
      <w:numFmt w:val="lowerRoman"/>
      <w:lvlText w:val="%3"/>
      <w:lvlJc w:val="left"/>
      <w:pPr>
        <w:ind w:left="54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567AE4">
      <w:start w:val="1"/>
      <w:numFmt w:val="decimal"/>
      <w:lvlText w:val="%4"/>
      <w:lvlJc w:val="left"/>
      <w:pPr>
        <w:ind w:left="61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6A0912">
      <w:start w:val="1"/>
      <w:numFmt w:val="lowerLetter"/>
      <w:lvlText w:val="%5"/>
      <w:lvlJc w:val="left"/>
      <w:pPr>
        <w:ind w:left="68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096AC">
      <w:start w:val="1"/>
      <w:numFmt w:val="lowerRoman"/>
      <w:lvlText w:val="%6"/>
      <w:lvlJc w:val="left"/>
      <w:pPr>
        <w:ind w:left="76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8C194C">
      <w:start w:val="1"/>
      <w:numFmt w:val="decimal"/>
      <w:lvlText w:val="%7"/>
      <w:lvlJc w:val="left"/>
      <w:pPr>
        <w:ind w:left="83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89052">
      <w:start w:val="1"/>
      <w:numFmt w:val="lowerLetter"/>
      <w:lvlText w:val="%8"/>
      <w:lvlJc w:val="left"/>
      <w:pPr>
        <w:ind w:left="90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F29748">
      <w:start w:val="1"/>
      <w:numFmt w:val="lowerRoman"/>
      <w:lvlText w:val="%9"/>
      <w:lvlJc w:val="left"/>
      <w:pPr>
        <w:ind w:left="97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AE"/>
    <w:rsid w:val="002242D0"/>
    <w:rsid w:val="00A403AE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5C828-04B8-4CB1-AA5A-DEDEDE68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84" w:line="248" w:lineRule="auto"/>
      <w:ind w:left="1036" w:hanging="5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45"/>
      <w:ind w:left="148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2D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Zmluva o dielo</dc:subject>
  <dc:creator>Eva Princová</dc:creator>
  <cp:keywords/>
  <cp:lastModifiedBy>VLKOVIČOVÁ Zdenka</cp:lastModifiedBy>
  <cp:revision>3</cp:revision>
  <cp:lastPrinted>2015-12-21T08:30:00Z</cp:lastPrinted>
  <dcterms:created xsi:type="dcterms:W3CDTF">2015-12-21T08:31:00Z</dcterms:created>
  <dcterms:modified xsi:type="dcterms:W3CDTF">2015-12-21T08:31:00Z</dcterms:modified>
</cp:coreProperties>
</file>